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D279B1" w:rsidRPr="00D279B1">
        <w:rPr>
          <w:rFonts w:ascii="Times New Roman" w:hAnsi="Times New Roman" w:cs="Times New Roman"/>
          <w:sz w:val="24"/>
        </w:rPr>
        <w:t>31.08.04 Трансфузиология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279B1" w:rsidRPr="00D2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Трансфузиология производственная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4E" w:rsidRDefault="00D279B1" w:rsidP="00A6029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клинической трансфузиологии: учебно-методическое пособие / И. Г. </w:t>
      </w:r>
      <w:proofErr w:type="spellStart"/>
      <w:r w:rsidRPr="00D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D27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Колосков. — СПб</w:t>
      </w:r>
      <w:proofErr w:type="gramStart"/>
      <w:r w:rsidRPr="00D2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24 с</w:t>
      </w:r>
      <w:r w:rsidR="00EF6F4E" w:rsidRPr="00D27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9B1" w:rsidRPr="00A60296" w:rsidRDefault="00A60296" w:rsidP="00A6029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Посттрансфузионные осложнения: учебно-методическое пособие / И. Г. </w:t>
      </w:r>
      <w:proofErr w:type="spellStart"/>
      <w:r w:rsidRPr="00A6029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A602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6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60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 Минздрава России, 2016. — 28 с.</w:t>
      </w:r>
    </w:p>
    <w:p w:rsidR="00687BEF" w:rsidRPr="00687BEF" w:rsidRDefault="00687BEF" w:rsidP="0068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67D82" w:rsidRPr="00C67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Трансфузиология клиническая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872" w:rsidRPr="00C67D82" w:rsidRDefault="00C67D82" w:rsidP="00C67D82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Физиология системы гемостаза (свертывания крови): учеб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</w:t>
      </w: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2013. — 32 с</w:t>
      </w:r>
      <w:r w:rsidR="00C91872"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К. Ф.,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Аутогемотрансфузии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</w:t>
      </w: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щехирургической практике: учеб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Мечникова, 2014. — 44 с.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DC38E9" w:rsidRPr="00E02D48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2016.—216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«Медицина чрезвычайных ситуаций»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C67D82" w:rsidRPr="00C67D82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DC38E9" w:rsidRDefault="00C67D82" w:rsidP="00C67D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67D82" w:rsidRPr="00C67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Гематология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72" w:rsidRDefault="00C67D82" w:rsidP="00C67D82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Гемолитическая болезнь плода и новорождённо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го: учебно-методическое посо</w:t>
      </w:r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бие / И. Г. </w:t>
      </w:r>
      <w:proofErr w:type="spellStart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Дуткевич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2016. — 24 с.</w:t>
      </w:r>
    </w:p>
    <w:p w:rsidR="00C67D82" w:rsidRPr="00C67D82" w:rsidRDefault="00C67D82" w:rsidP="00C67D82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Дуткевич</w:t>
      </w:r>
      <w:proofErr w:type="spellEnd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Г. Физиология системы гемостаза (свертывания крови): учеб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СПб.: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Изд-во СЗГМУ им. И. И. Мечнико</w:t>
      </w:r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ва, 2013. — 32 </w:t>
      </w:r>
      <w:proofErr w:type="gramStart"/>
      <w:r w:rsidRPr="00C67D8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30D1F" w:rsidRPr="008A4CFE" w:rsidRDefault="00330D1F" w:rsidP="00330D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E0EDC"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39" w:rsidRDefault="000E0EDC" w:rsidP="000E0EDC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Базисная фармакология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учебно-методическое посо</w:t>
      </w:r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 / Н. О.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Селизарова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– 40 с.</w:t>
      </w:r>
    </w:p>
    <w:p w:rsidR="000E0EDC" w:rsidRPr="000E0EDC" w:rsidRDefault="000E0EDC" w:rsidP="000E0EDC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Вакуумградиентная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/ П. П. Михайличенко, А. С. Иванова, Л. А. Ахмедова. –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– 64 с.</w:t>
      </w:r>
    </w:p>
    <w:p w:rsidR="00084F5D" w:rsidRPr="00084F5D" w:rsidRDefault="00084F5D" w:rsidP="00084F5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0E0EDC" w:rsidRPr="000E0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Онкогематология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DC" w:rsidRPr="000E0EDC" w:rsidRDefault="000E0EDC" w:rsidP="000E0E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Основы клинической трансфузиологии: учебно-методическое пособие / И. Г.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Дуткевич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, А. В. Колосков. —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2016. — 24 с.</w:t>
      </w:r>
    </w:p>
    <w:p w:rsidR="000E0EDC" w:rsidRPr="000E0EDC" w:rsidRDefault="000E0EDC" w:rsidP="000E0E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Посттрансфузионные осложнения: учебно-методическое пособие / И. Г.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Дуткевич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 Минздрава России, 2016. — 28 с.</w:t>
      </w:r>
    </w:p>
    <w:p w:rsidR="00434F0B" w:rsidRPr="00434F0B" w:rsidRDefault="00434F0B" w:rsidP="00434F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E0EDC" w:rsidRPr="000E0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Терапия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EDC" w:rsidRPr="000E0EDC" w:rsidRDefault="000E0EDC" w:rsidP="000E0ED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Базисная фармакология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ноотропов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учебно-методическое пособие / Н. О.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Селизарова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[и др.]. –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– 40 с.</w:t>
      </w:r>
    </w:p>
    <w:p w:rsidR="000E0EDC" w:rsidRPr="000E0EDC" w:rsidRDefault="000E0EDC" w:rsidP="000E0ED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Вакуумградиентная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терапия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П. П. Михайличенко, А. С. Иванова, Л. А. Ахмедова. –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– 64 с.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0E0EDC" w:rsidRPr="000E0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Онкогематология</w:t>
      </w:r>
      <w:proofErr w:type="spellEnd"/>
      <w:r w:rsidR="000E0EDC" w:rsidRPr="000E0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DC" w:rsidRPr="000E0EDC" w:rsidRDefault="000E0EDC" w:rsidP="000E0ED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E0EDC">
        <w:rPr>
          <w:rFonts w:ascii="Times New Roman" w:hAnsi="Times New Roman" w:cs="Times New Roman"/>
          <w:sz w:val="24"/>
        </w:rPr>
        <w:t xml:space="preserve">Основы клинической трансфузиологии: учебно-методическое пособие / И. Г. </w:t>
      </w:r>
      <w:proofErr w:type="spellStart"/>
      <w:r w:rsidRPr="000E0EDC">
        <w:rPr>
          <w:rFonts w:ascii="Times New Roman" w:hAnsi="Times New Roman" w:cs="Times New Roman"/>
          <w:sz w:val="24"/>
        </w:rPr>
        <w:t>Дуткевич</w:t>
      </w:r>
      <w:proofErr w:type="spellEnd"/>
      <w:r w:rsidRPr="000E0EDC">
        <w:rPr>
          <w:rFonts w:ascii="Times New Roman" w:hAnsi="Times New Roman" w:cs="Times New Roman"/>
          <w:sz w:val="24"/>
        </w:rPr>
        <w:t>, А. В. Колосков. — СПб</w:t>
      </w:r>
      <w:proofErr w:type="gramStart"/>
      <w:r w:rsidRPr="000E0EDC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0E0EDC">
        <w:rPr>
          <w:rFonts w:ascii="Times New Roman" w:hAnsi="Times New Roman" w:cs="Times New Roman"/>
          <w:sz w:val="24"/>
        </w:rPr>
        <w:t>Изд-во СЗГМУ им. И. И. Мечникова, 2016. — 24 с.</w:t>
      </w:r>
    </w:p>
    <w:p w:rsidR="002E6E9A" w:rsidRPr="000E0EDC" w:rsidRDefault="000E0EDC" w:rsidP="000E0ED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E0EDC">
        <w:rPr>
          <w:rFonts w:ascii="Times New Roman" w:hAnsi="Times New Roman" w:cs="Times New Roman"/>
          <w:sz w:val="24"/>
        </w:rPr>
        <w:t xml:space="preserve">Посттрансфузионные осложнения: учебно-методическое пособие / И. Г. </w:t>
      </w:r>
      <w:proofErr w:type="spellStart"/>
      <w:r w:rsidRPr="000E0EDC">
        <w:rPr>
          <w:rFonts w:ascii="Times New Roman" w:hAnsi="Times New Roman" w:cs="Times New Roman"/>
          <w:sz w:val="24"/>
        </w:rPr>
        <w:t>Дуткевич</w:t>
      </w:r>
      <w:proofErr w:type="spellEnd"/>
      <w:r w:rsidRPr="000E0EDC">
        <w:rPr>
          <w:rFonts w:ascii="Times New Roman" w:hAnsi="Times New Roman" w:cs="Times New Roman"/>
          <w:sz w:val="24"/>
        </w:rPr>
        <w:t>. — СПб</w:t>
      </w:r>
      <w:proofErr w:type="gramStart"/>
      <w:r w:rsidRPr="000E0EDC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0E0EDC">
        <w:rPr>
          <w:rFonts w:ascii="Times New Roman" w:hAnsi="Times New Roman" w:cs="Times New Roman"/>
          <w:sz w:val="24"/>
        </w:rPr>
        <w:t>Изд-во СЗГМУ им. И. И. Мечникова Минздрава России, 2016. — 28 с.</w:t>
      </w:r>
    </w:p>
    <w:p w:rsidR="00D71643" w:rsidRPr="00434F0B" w:rsidRDefault="00375DF6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375DF6">
        <w:rPr>
          <w:rFonts w:ascii="Times New Roman" w:hAnsi="Times New Roman" w:cs="Times New Roman"/>
          <w:sz w:val="24"/>
        </w:rPr>
        <w:t xml:space="preserve"> </w:t>
      </w: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DC" w:rsidRPr="000E0EDC" w:rsidRDefault="000E0EDC" w:rsidP="000E0ED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клинической трансфузиологии: учебно-методическое пособие / И. Г.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Колосков. —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24 с.</w:t>
      </w:r>
    </w:p>
    <w:p w:rsidR="000E0EDC" w:rsidRPr="000E0EDC" w:rsidRDefault="000E0EDC" w:rsidP="000E0ED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Посттрансфузионные осложнения: учебно-методическое пособие / И. Г.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 Минздрава России, 2016. — 28 с.</w:t>
      </w:r>
    </w:p>
    <w:p w:rsidR="00517B28" w:rsidRPr="000E0EDC" w:rsidRDefault="00517B28" w:rsidP="000E0ED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DC" w:rsidRPr="000E0EDC" w:rsidRDefault="000E0EDC" w:rsidP="000E0ED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Физиология системы гемостаза (свертывания крови): учеб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2013. — 32 с.</w:t>
      </w:r>
    </w:p>
    <w:p w:rsidR="002E5FE8" w:rsidRPr="00BD4C18" w:rsidRDefault="000E0EDC" w:rsidP="000E0ED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К. Ф.,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</w:t>
      </w:r>
      <w:proofErr w:type="spell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Аутогемотрансфузии</w:t>
      </w:r>
      <w:proofErr w:type="spell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общехирургической практике: учеб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E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Мечникова, 2014. — 44 с</w:t>
      </w:r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35" w:rsidRPr="00B31135" w:rsidRDefault="00B31135" w:rsidP="00B3113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клинической трансфузиологии: учебно-методическое пособие / И. Г. </w:t>
      </w: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Колосков. —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24 с.</w:t>
      </w:r>
    </w:p>
    <w:p w:rsidR="00B31135" w:rsidRPr="00B31135" w:rsidRDefault="00B31135" w:rsidP="00B3113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Посттрансфузионные осложнения: учебно-методическое пособие / И. Г. </w:t>
      </w: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 Минздрава России, 2016. — 28 с.</w:t>
      </w:r>
    </w:p>
    <w:p w:rsidR="00B31135" w:rsidRPr="00B31135" w:rsidRDefault="00B31135" w:rsidP="00B3113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Физиология системы гемостаза (свертывания крови): учеб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2013. — 32 с.</w:t>
      </w:r>
    </w:p>
    <w:p w:rsidR="002E6E9A" w:rsidRPr="002E6E9A" w:rsidRDefault="00B31135" w:rsidP="00B31135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К. Ф., </w:t>
      </w: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</w:t>
      </w: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Аутогемотрансфузии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общехирургической практике: учеб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Мечникова, 2014. — 44 с.</w:t>
      </w:r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1135" w:rsidRPr="00B3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гематологии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35" w:rsidRPr="00B31135" w:rsidRDefault="00B31135" w:rsidP="00B3113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Гемолитическая болезнь плода и новорождённого: учебно-методическое пособие / И. Г. </w:t>
      </w: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24 с.</w:t>
      </w:r>
    </w:p>
    <w:p w:rsidR="00BD4C18" w:rsidRPr="00614973" w:rsidRDefault="00B31135" w:rsidP="00B3113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Дуткевич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Физиология системы гемостаза (свертывания крови): учеб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2013. — 32 с</w:t>
      </w:r>
      <w:r w:rsidR="002E6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B31135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здравоохранения. Нормативное регулирование деятельности системы здравоохранения. Программы развития здравоохранения. Правила представления студентами презентаций по актуальным вопросам здравоохранения : учеб.-метод. пособие / В. 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Авдеева, И. Л. Самодова [и др.] ; ред. В. 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СЗГМУ им. И. И. Мечникова.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- 44 с.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информатика и статистика в научных исследованиях : учеб. пособие / В. Я.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Сердюков, А. Д. Шматко [и др.]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- 152 с.</w:t>
      </w:r>
    </w:p>
    <w:p w:rsidR="00264163" w:rsidRPr="00264163" w:rsidRDefault="00264163" w:rsidP="00FE1C2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14B01" w:rsidRPr="00314B01" w:rsidRDefault="00314B01" w:rsidP="00CC6AB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D01A62" w:rsidRDefault="006F1A59" w:rsidP="00314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E9" w:rsidRDefault="00824BE9" w:rsidP="008D54BB">
      <w:pPr>
        <w:spacing w:after="0" w:line="240" w:lineRule="auto"/>
      </w:pPr>
      <w:r>
        <w:separator/>
      </w:r>
    </w:p>
  </w:endnote>
  <w:endnote w:type="continuationSeparator" w:id="0">
    <w:p w:rsidR="00824BE9" w:rsidRDefault="00824BE9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B31135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E9" w:rsidRDefault="00824BE9" w:rsidP="008D54BB">
      <w:pPr>
        <w:spacing w:after="0" w:line="240" w:lineRule="auto"/>
      </w:pPr>
      <w:r>
        <w:separator/>
      </w:r>
    </w:p>
  </w:footnote>
  <w:footnote w:type="continuationSeparator" w:id="0">
    <w:p w:rsidR="00824BE9" w:rsidRDefault="00824BE9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61F5"/>
    <w:rsid w:val="00077930"/>
    <w:rsid w:val="00084F5D"/>
    <w:rsid w:val="00087AC6"/>
    <w:rsid w:val="00095F45"/>
    <w:rsid w:val="00096951"/>
    <w:rsid w:val="000C667C"/>
    <w:rsid w:val="000D0376"/>
    <w:rsid w:val="000E0EDC"/>
    <w:rsid w:val="000E11AA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64163"/>
    <w:rsid w:val="0027779F"/>
    <w:rsid w:val="002A6D29"/>
    <w:rsid w:val="002C08A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14973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04DE"/>
    <w:rsid w:val="00671447"/>
    <w:rsid w:val="00673D5B"/>
    <w:rsid w:val="00687BEF"/>
    <w:rsid w:val="00694143"/>
    <w:rsid w:val="00696A38"/>
    <w:rsid w:val="006A4F2B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40953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32FB0"/>
    <w:rsid w:val="00A4217E"/>
    <w:rsid w:val="00A60296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31135"/>
    <w:rsid w:val="00B55120"/>
    <w:rsid w:val="00B737C2"/>
    <w:rsid w:val="00B73F07"/>
    <w:rsid w:val="00B773AD"/>
    <w:rsid w:val="00BD1AB6"/>
    <w:rsid w:val="00BD4C18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749F"/>
    <w:rsid w:val="00D25035"/>
    <w:rsid w:val="00D275CB"/>
    <w:rsid w:val="00D279B1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2305"/>
    <w:rsid w:val="00E96B84"/>
    <w:rsid w:val="00EA32CE"/>
    <w:rsid w:val="00EB1F6E"/>
    <w:rsid w:val="00ED3D37"/>
    <w:rsid w:val="00EF4E6D"/>
    <w:rsid w:val="00EF6F4E"/>
    <w:rsid w:val="00F3795C"/>
    <w:rsid w:val="00F41208"/>
    <w:rsid w:val="00F42F19"/>
    <w:rsid w:val="00F47CCC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7897-0D38-474E-B147-D558E1A2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142</cp:revision>
  <cp:lastPrinted>2021-10-20T11:37:00Z</cp:lastPrinted>
  <dcterms:created xsi:type="dcterms:W3CDTF">2022-06-22T09:40:00Z</dcterms:created>
  <dcterms:modified xsi:type="dcterms:W3CDTF">2024-06-13T09:04:00Z</dcterms:modified>
</cp:coreProperties>
</file>