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B75972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B75972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43106F" w:rsidRDefault="00914F7A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8110D1" w:rsidRPr="0043106F">
        <w:rPr>
          <w:color w:val="262626" w:themeColor="text1" w:themeTint="D9"/>
          <w:sz w:val="24"/>
          <w:szCs w:val="24"/>
        </w:rPr>
        <w:t>года №</w:t>
      </w:r>
      <w:r w:rsidR="00A331F4" w:rsidRPr="0043106F">
        <w:rPr>
          <w:color w:val="262626" w:themeColor="text1" w:themeTint="D9"/>
          <w:sz w:val="24"/>
          <w:szCs w:val="24"/>
        </w:rPr>
        <w:t xml:space="preserve"> </w:t>
      </w:r>
      <w:r w:rsidR="00A331F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выданной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43106F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BC3AE6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877B09" w:rsidRDefault="00746228" w:rsidP="00877B0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</w:p>
    <w:p w:rsidR="00877B09" w:rsidRDefault="00877B09" w:rsidP="00877B0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практика по получению профессиональных умений и опыта профессиональной деятельности на должностях среднего медицинского персонала»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877B09" w:rsidRDefault="00746228" w:rsidP="00877B0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877B0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BC3AE6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AF2F86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сестринское дело</w:t>
      </w:r>
      <w:r w:rsidR="00E60677" w:rsidRPr="00AF2F8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DE7D9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27 июня 2024 года по 17 июля 2024 года.</w:t>
      </w:r>
    </w:p>
    <w:p w:rsidR="0024448C" w:rsidRPr="0043106F" w:rsidRDefault="00877B09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D44C7E" w:rsidP="00877B0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 направлению подготовки 31.05.01 Лечебное дело (уровень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877B09" w:rsidRPr="00877B09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A015F1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(2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07007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BC3AE6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BC3AE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626BC6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Настоящий Договор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вступает в силу пос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ле его подписания и действует по «17» июля 2024 года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</w:p>
    <w:p w:rsidR="000371E4" w:rsidRPr="00BC3AE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BC3AE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BC3AE6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275512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275512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0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07007A" w:rsidRDefault="0007007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626BC6" w:rsidRPr="00626BC6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428"/>
        <w:gridCol w:w="2802"/>
        <w:gridCol w:w="1701"/>
        <w:gridCol w:w="3402"/>
      </w:tblGrid>
      <w:tr w:rsidR="0043106F" w:rsidRPr="0043106F" w:rsidTr="00A4268F">
        <w:trPr>
          <w:trHeight w:hRule="exact" w:val="1351"/>
        </w:trPr>
        <w:tc>
          <w:tcPr>
            <w:tcW w:w="242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43106F" w:rsidRPr="0043106F" w:rsidTr="00A4268F">
        <w:trPr>
          <w:trHeight w:val="2502"/>
        </w:trPr>
        <w:tc>
          <w:tcPr>
            <w:tcW w:w="2428" w:type="dxa"/>
            <w:shd w:val="clear" w:color="auto" w:fill="auto"/>
            <w:vAlign w:val="center"/>
          </w:tcPr>
          <w:p w:rsidR="001A78E6" w:rsidRPr="0043106F" w:rsidRDefault="00914E33" w:rsidP="0043106F">
            <w:pPr>
              <w:widowControl w:val="0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Коновалова</w:t>
            </w:r>
          </w:p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Ольга</w:t>
            </w:r>
          </w:p>
          <w:p w:rsidR="001A78E6" w:rsidRPr="0043106F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5758A">
              <w:rPr>
                <w:color w:val="262626" w:themeColor="text1" w:themeTint="D9"/>
              </w:rPr>
              <w:t>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5758A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0178270131785</w:t>
            </w:r>
          </w:p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23.10.2021</w:t>
            </w:r>
          </w:p>
          <w:p w:rsidR="001A78E6" w:rsidRPr="0043106F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5758A">
              <w:rPr>
                <w:color w:val="262626" w:themeColor="text1" w:themeTint="D9"/>
              </w:rPr>
              <w:t>"Сестринское дело"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626BC6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CE0463" w:rsidRPr="0043106F" w:rsidTr="00CE0463">
        <w:trPr>
          <w:trHeight w:val="389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CE0463" w:rsidRPr="0043106F" w:rsidRDefault="00643EBE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0463" w:rsidRPr="0043106F" w:rsidRDefault="00CE0463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0463" w:rsidRPr="0043106F" w:rsidRDefault="00CE0463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43106F" w:rsidRPr="0043106F" w:rsidTr="00EF5897">
        <w:trPr>
          <w:trHeight w:val="407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E0463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43106F" w:rsidRPr="0043106F" w:rsidTr="00EF5897">
        <w:trPr>
          <w:trHeight w:val="407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E0463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626BC6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E072E5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Операционные инструменты</w:t>
            </w: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Перевязочные материалы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E072E5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 медицинский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Бикса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Столик процедурный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Тонометр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Кружка</w:t>
            </w:r>
            <w:r w:rsidRPr="00D7630C">
              <w:rPr>
                <w:szCs w:val="24"/>
                <w:lang w:bidi="ru-RU"/>
              </w:rPr>
              <w:t xml:space="preserve"> Эсмарха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Штатив для в/в в</w:t>
            </w:r>
            <w:bookmarkStart w:id="1" w:name="_GoBack"/>
            <w:bookmarkEnd w:id="1"/>
            <w:r w:rsidRPr="00D7630C">
              <w:rPr>
                <w:szCs w:val="24"/>
                <w:lang w:bidi="ru-RU"/>
              </w:rPr>
              <w:t>ливаний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5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Пробирки </w:t>
            </w:r>
            <w:r w:rsidRPr="00D7630C">
              <w:rPr>
                <w:szCs w:val="24"/>
                <w:lang w:bidi="ru-RU"/>
              </w:rPr>
              <w:t>для забора крови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20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Игла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20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120329" w:rsidRDefault="00E072E5" w:rsidP="00E072E5">
            <w:pPr>
              <w:widowControl w:val="0"/>
              <w:ind w:left="132"/>
              <w:rPr>
                <w:lang w:bidi="ru-RU"/>
              </w:rPr>
            </w:pPr>
            <w:r w:rsidRPr="00120329">
              <w:rPr>
                <w:lang w:bidi="ru-RU"/>
              </w:rPr>
              <w:t>Пузырь со льдом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5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120329" w:rsidRDefault="00E072E5" w:rsidP="00E072E5">
            <w:pPr>
              <w:widowControl w:val="0"/>
              <w:ind w:left="132"/>
              <w:rPr>
                <w:lang w:bidi="ru-RU"/>
              </w:rPr>
            </w:pPr>
            <w:r>
              <w:rPr>
                <w:lang w:bidi="ru-RU"/>
              </w:rPr>
              <w:t>Шприц для инъекций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20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275512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7007A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6D22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75512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0A4B"/>
    <w:rsid w:val="003516D3"/>
    <w:rsid w:val="0038194A"/>
    <w:rsid w:val="00383B77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0F9A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11DE3"/>
    <w:rsid w:val="00612F52"/>
    <w:rsid w:val="00626BC6"/>
    <w:rsid w:val="00630B41"/>
    <w:rsid w:val="00643EBE"/>
    <w:rsid w:val="006462B1"/>
    <w:rsid w:val="006479FC"/>
    <w:rsid w:val="0065249F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25C93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77B09"/>
    <w:rsid w:val="00880E2C"/>
    <w:rsid w:val="0088476D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9F5A33"/>
    <w:rsid w:val="00A015F1"/>
    <w:rsid w:val="00A076A8"/>
    <w:rsid w:val="00A2076A"/>
    <w:rsid w:val="00A25542"/>
    <w:rsid w:val="00A331F4"/>
    <w:rsid w:val="00A4268F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E1735"/>
    <w:rsid w:val="00AF2F86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5972"/>
    <w:rsid w:val="00B76AA1"/>
    <w:rsid w:val="00B91E34"/>
    <w:rsid w:val="00B93B04"/>
    <w:rsid w:val="00BA148C"/>
    <w:rsid w:val="00BA46BD"/>
    <w:rsid w:val="00BC3AE6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E0463"/>
    <w:rsid w:val="00CF332E"/>
    <w:rsid w:val="00CF602C"/>
    <w:rsid w:val="00CF7722"/>
    <w:rsid w:val="00D0129F"/>
    <w:rsid w:val="00D17F56"/>
    <w:rsid w:val="00D24A01"/>
    <w:rsid w:val="00D33A18"/>
    <w:rsid w:val="00D34A69"/>
    <w:rsid w:val="00D44C7E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E7D92"/>
    <w:rsid w:val="00DF1F5F"/>
    <w:rsid w:val="00DF7862"/>
    <w:rsid w:val="00E01DFC"/>
    <w:rsid w:val="00E0485A"/>
    <w:rsid w:val="00E054F0"/>
    <w:rsid w:val="00E072E5"/>
    <w:rsid w:val="00E14C2F"/>
    <w:rsid w:val="00E34B79"/>
    <w:rsid w:val="00E4005F"/>
    <w:rsid w:val="00E410C9"/>
    <w:rsid w:val="00E5616D"/>
    <w:rsid w:val="00E60677"/>
    <w:rsid w:val="00E74DCD"/>
    <w:rsid w:val="00E80A6E"/>
    <w:rsid w:val="00E80D59"/>
    <w:rsid w:val="00E91B59"/>
    <w:rsid w:val="00E93575"/>
    <w:rsid w:val="00E9576B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F00CA"/>
    <w:rsid w:val="00F17917"/>
    <w:rsid w:val="00F17A39"/>
    <w:rsid w:val="00F219D0"/>
    <w:rsid w:val="00F31C78"/>
    <w:rsid w:val="00F427BE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3AE3-B917-442D-B698-31961891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149</cp:revision>
  <cp:lastPrinted>2023-10-27T11:17:00Z</cp:lastPrinted>
  <dcterms:created xsi:type="dcterms:W3CDTF">2021-03-30T06:45:00Z</dcterms:created>
  <dcterms:modified xsi:type="dcterms:W3CDTF">2024-03-11T12:59:00Z</dcterms:modified>
</cp:coreProperties>
</file>